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5a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14 de junio,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23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Paula Waldmann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Incorporación al CD del Mg. Pedro De Carli como representante de la Unidad Académica Río Gallegos (UARG) de la Universidad Nacional de la Patagonia Austral (UNPA). 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Incorporación al CD de la Ing. Pesquera Paula Waldmann como representante suplente de la Universidad Tecnológica Nacional Regional Mar del Plata.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Fecha y hora proxima reunión: martes 12 de julio, 15 hs.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Nota de apoyo al proyecto “Centro tecnológico y experimental de especies marino-costeras (CETEEMAR)” en el Programa de Facilidades Científico Tecnológico (FCT), del Ministerio de Investigaciones Científicas y Tecnológicas (MINCyT). Presenta Alejandro Mechaly.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acuerda en recabar plazos frente a próximas solicitudes de manera que puedan ser tratadas por el plenario.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Reunión con representantes de </w:t>
      </w:r>
      <w:hyperlink r:id="rId2">
        <w:r>
          <w:rPr>
            <w:rStyle w:val="InternetLink"/>
            <w:rFonts w:eastAsia="Noto Sans CJK SC" w:cs="LiberationSerif-Bold"/>
            <w:b w:val="false"/>
            <w:bCs w:val="false"/>
            <w:color w:val="00000A"/>
            <w:kern w:val="2"/>
            <w:sz w:val="24"/>
            <w:szCs w:val="24"/>
            <w:lang w:val="es-AR" w:eastAsia="zh-CN" w:bidi="hi-IN"/>
          </w:rPr>
          <w:t>https://mayma.lat/</w:t>
        </w:r>
      </w:hyperlink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y </w:t>
      </w:r>
      <w:hyperlink r:id="rId3">
        <w:r>
          <w:rPr>
            <w:rStyle w:val="InternetLink"/>
            <w:rFonts w:eastAsia="Noto Sans CJK SC" w:cs="LiberationSerif-Bold"/>
            <w:b w:val="false"/>
            <w:bCs w:val="false"/>
            <w:color w:val="00000A"/>
            <w:kern w:val="2"/>
            <w:sz w:val="24"/>
            <w:szCs w:val="24"/>
            <w:lang w:val="es-AR" w:eastAsia="zh-CN" w:bidi="hi-IN"/>
          </w:rPr>
          <w:t>www.acuaponia.com</w:t>
        </w:r>
      </w:hyperlink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. Informa Carolina Policastro.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4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Propuesta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Pesqueria.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Estamos a la espera de respuestas, solicitadas oportunamente.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Formulación de un borrador para el pedido apertura de cargos CIC para atender vacancias en acuicultura y pesquería. Dos reuniones de grupo. Avances. </w:t>
      </w:r>
      <w:r>
        <w:rPr>
          <w:lang w:val="es-AR"/>
        </w:rPr>
        <w:t>Se plantea la necesidad de fomentar proyectos específicos que puedan atraer investigadores.</w:t>
      </w:r>
    </w:p>
    <w:p>
      <w:pPr>
        <w:pStyle w:val="Normal"/>
        <w:rPr>
          <w:lang w:val="es-AR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Interacción con la Dirección de Acuicultura del MAGYP. Propuesta de convenio CONICET-MAGYP.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está a la espera de la firma del convenio marco.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Consolidación de un nodo NEA (Misiones, Formosa, Chaco, Corrientes, Santa Fe, Entre Ríos).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trabaja en la vinculación interinstitucional en el NEA.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Creación de un CENADAC sur a fin de consolidar el soporte técnico a la región. Dos reuniones.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continua a la espera de requerimientos por parte de la Provincia de Santa Cruz.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Impactar Chubut: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Queda a la espera de informes por parte de la Directora del proyecto (Dra. Cecilia Di Prinzio).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Conformación de grupos de trabajo para atender los requerimientos de la DNA-MAGYP. Avances?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continua trabajando en relación con la iniciativa acuaponia.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>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ctividades previstas para 2022 en el Informe de la Red. Propuesta estrategia de comunicación para 2022 (Viviana Moreno, equipo RIOSP). </w:t>
      </w:r>
      <w:r>
        <w:rPr>
          <w:lang w:val="es-AR"/>
        </w:rPr>
        <w:t xml:space="preserve">Patagonia y NEA como pilotos con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actividades en marcha</w:t>
      </w:r>
      <w:r>
        <w:rPr>
          <w:lang w:val="es-AR"/>
        </w:rPr>
        <w:t>. Dos jornadas de presentación de la RED y capacidades invitando en alianza con los CCT a MAGYP, sectores públicos y privados (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provinciales</w:t>
      </w:r>
      <w:r>
        <w:rPr>
          <w:lang w:val="es-AR"/>
        </w:rPr>
        <w:t xml:space="preserve"> y nacionales) a estas reuniones. </w:t>
      </w:r>
      <w:r>
        <w:rPr>
          <w:lang w:val="es-AR"/>
        </w:rPr>
        <w:t>Se ensamblarán estas acciones con las perspectivas de desarrollo de los diferentes nodos y temáticas.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yma.lat/" TargetMode="External"/><Relationship Id="rId3" Type="http://schemas.openxmlformats.org/officeDocument/2006/relationships/hyperlink" Target="http://www.acuaponia.com/" TargetMode="External"/><Relationship Id="rId4" Type="http://schemas.openxmlformats.org/officeDocument/2006/relationships/hyperlink" Target="https://iica.int/e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2161</TotalTime>
  <Application>LibreOffice/6.4.7.2$Linux_X86_64 LibreOffice_project/40$Build-2</Application>
  <Pages>2</Pages>
  <Words>553</Words>
  <Characters>3157</Characters>
  <CharactersWithSpaces>3773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2022-07-05T09:23:01Z</dcterms:modified>
  <cp:revision>97</cp:revision>
  <dc:subject/>
  <dc:title/>
</cp:coreProperties>
</file>