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4a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17 de mayo de 2022,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22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M. Mercedes Berrueta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>Mar Del Plata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>CABA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CENPAT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Fecha y hora proxima reunión: Martes 14 de junio, 15 hs.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lang w:val="es-AR"/>
        </w:rPr>
        <w:t xml:space="preserve">- Aprobación de la minuta de la reunión anterior. </w:t>
      </w:r>
      <w:r>
        <w:rPr>
          <w:lang w:val="es-AR"/>
        </w:rPr>
        <w:t>Se aprueba.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Incorporación de la Universidad Nacional de la Patagonia Austral (UNPA). En gestión.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Se informa.</w:t>
      </w:r>
    </w:p>
    <w:p>
      <w:pPr>
        <w:pStyle w:val="Normal"/>
        <w:rPr/>
      </w:pPr>
      <w:r>
        <w:rPr>
          <w:lang w:val="es-AR"/>
        </w:rPr>
        <w:t xml:space="preserve">- Avances en el trabajo conjunto con </w:t>
      </w: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el IICA (</w:t>
      </w:r>
      <w:hyperlink r:id="rId2">
        <w:r>
          <w:rPr>
            <w:rStyle w:val="EnlacedeInternet"/>
            <w:rFonts w:cs="LiberationSerif-Bold"/>
            <w:b w:val="false"/>
            <w:bCs w:val="false"/>
            <w:color w:val="00000A"/>
            <w:sz w:val="24"/>
            <w:szCs w:val="24"/>
            <w:lang w:val="es-AR"/>
          </w:rPr>
          <w:t>https://iica.int/es</w:t>
        </w:r>
      </w:hyperlink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). Propuesta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Pesqueria. Avances. (Comentario MAGYP).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Interacción con la Dirección de Acuicultura del MAGYP. Propuesta de convenio CONICET-MAGYP.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Consolidación de un nodo NEA (Misiones, Formosa, Chaco, Corrientes, Santa Fe, Entre Ríos).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Creación de un CENADAC sur a fin de consolidar el soporte técnico a la región. Dos reuniones.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Impactar Chubut: Avances.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Conformación de grupos de trabajo para atender los requerimientos de la DNA-MAGYP.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Se conformará un grupo de Pesquería.</w:t>
      </w:r>
    </w:p>
    <w:p>
      <w:pPr>
        <w:pStyle w:val="Normal"/>
        <w:rPr/>
      </w:pP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- 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>A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 xml:space="preserve">ctividades previstas para 2022 en el Informe de la Red. Propuesta estrategia de comunicación para 2022 (Viviana Moreno, equipo RIOSP). </w:t>
      </w:r>
      <w:r>
        <w:rPr>
          <w:lang w:val="es-AR"/>
        </w:rPr>
        <w:t xml:space="preserve">Patagonia y NEA como pilotos con </w:t>
      </w:r>
      <w:r>
        <w:rPr>
          <w:rFonts w:eastAsia="Noto Sans CJK SC" w:cs="LiberationSerif-Bold"/>
          <w:b w:val="false"/>
          <w:bCs w:val="false"/>
          <w:color w:val="00000A"/>
          <w:kern w:val="2"/>
          <w:sz w:val="24"/>
          <w:szCs w:val="24"/>
          <w:lang w:val="es-AR" w:eastAsia="zh-CN" w:bidi="hi-IN"/>
        </w:rPr>
        <w:t>actividades en marcha</w:t>
      </w:r>
      <w:r>
        <w:rPr>
          <w:lang w:val="es-AR"/>
        </w:rPr>
        <w:t>. Dos jornadas de presentación de la RED y capacidades invitando en alianza con los CCT a MAGYP, sectores públicos y privados (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provinciales</w:t>
      </w:r>
      <w:r>
        <w:rPr>
          <w:lang w:val="es-AR"/>
        </w:rPr>
        <w:t xml:space="preserve"> y nacionales) a estas reuniones. </w:t>
      </w:r>
      <w:r>
        <w:rPr>
          <w:lang w:val="es-AR"/>
        </w:rPr>
        <w:t>Se discute.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Formulación de un borrador para el pedido apertura de cargos CIC para atender vacancias en acuicultura y pesquería. </w:t>
      </w:r>
      <w:r>
        <w:rPr>
          <w:lang w:val="es-AR"/>
        </w:rPr>
        <w:t>Se trabajará en comisión.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ica.int/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2026</TotalTime>
  <Application>LibreOffice/6.4.7.2$Linux_X86_64 LibreOffice_project/40$Build-2</Application>
  <Pages>2</Pages>
  <Words>373</Words>
  <Characters>2105</Characters>
  <CharactersWithSpaces>2501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2022-06-08T18:15:28Z</dcterms:modified>
  <cp:revision>92</cp:revision>
  <dc:subject/>
  <dc:title/>
</cp:coreProperties>
</file>