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4a Reunión 2021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bookmarkStart w:id="0" w:name="__DdeLink__163_3075208861"/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11 de mayo, 15 hs.</w:t>
      </w:r>
      <w:bookmarkEnd w:id="0"/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(18)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1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1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>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>LA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>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Temario: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Fecha y Hora Proxima REUNIÓN: 15 de junio 15 hs.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>- Incorporación al CD del Dr. Fabricio Andrés Vigliano como representante de la Universidad Nacional de Rosario.</w:t>
      </w:r>
    </w:p>
    <w:p>
      <w:pPr>
        <w:pStyle w:val="Normal"/>
        <w:rPr/>
      </w:pPr>
      <w:r>
        <w:rPr>
          <w:lang w:val="es-AR"/>
        </w:rPr>
        <w:t>- Aprobación de la minuta de la reunión anterior. Aprobada.</w:t>
      </w:r>
    </w:p>
    <w:p>
      <w:pPr>
        <w:pStyle w:val="Normal"/>
        <w:rPr/>
      </w:pPr>
      <w:r>
        <w:rPr>
          <w:lang w:val="es-AR"/>
        </w:rPr>
        <w:t xml:space="preserve">-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Invitaciones a participar del CD; SENASA, INTA, INTI. Enviadas.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II Congreso Nacional de Ingeniería Pesquera. 1° Circular </w:t>
      </w:r>
      <w:r>
        <w:fldChar w:fldCharType="begin"/>
      </w:r>
      <w:r>
        <w:rPr>
          <w:rStyle w:val="EnlacedeInternet"/>
          <w:sz w:val="24"/>
          <w:b w:val="false"/>
          <w:szCs w:val="24"/>
          <w:bCs w:val="false"/>
          <w:rFonts w:cs="LiberationSerif-Bold"/>
          <w:color w:val="00000A"/>
          <w:lang w:val="es-AR"/>
        </w:rPr>
        <w:instrText> HYPERLINK "http://www.frtdf.utn.edu.ar/index.php/en/?Itemid=1215"&gt;CONIPE" \l "circulares"</w:instrText>
      </w:r>
      <w:r>
        <w:rPr>
          <w:rStyle w:val="EnlacedeInternet"/>
          <w:sz w:val="24"/>
          <w:b w:val="false"/>
          <w:szCs w:val="24"/>
          <w:bCs w:val="false"/>
          <w:rFonts w:cs="LiberationSerif-Bold"/>
          <w:color w:val="00000A"/>
          <w:lang w:val="es-AR"/>
        </w:rPr>
        <w:fldChar w:fldCharType="separate"/>
      </w:r>
      <w:r>
        <w:rPr>
          <w:rStyle w:val="EnlacedeInternet"/>
          <w:rFonts w:cs="LiberationSerif-Bold"/>
          <w:b w:val="false"/>
          <w:bCs w:val="false"/>
          <w:color w:val="00000A"/>
          <w:sz w:val="24"/>
          <w:szCs w:val="24"/>
          <w:lang w:val="es-AR"/>
        </w:rPr>
        <w:t>http://www.frtdf.utn.edu.ar/index.php/en/?Itemid=1215%22%3ECONIPE#circulares</w:t>
      </w:r>
      <w:r>
        <w:rPr>
          <w:rStyle w:val="EnlacedeInternet"/>
          <w:sz w:val="24"/>
          <w:b w:val="false"/>
          <w:szCs w:val="24"/>
          <w:bCs w:val="false"/>
          <w:rFonts w:cs="LiberationSerif-Bold"/>
          <w:color w:val="00000A"/>
          <w:lang w:val="es-AR"/>
        </w:rPr>
        <w:fldChar w:fldCharType="end"/>
      </w:r>
      <w:r>
        <w:rPr>
          <w:rStyle w:val="EnlacedeInternet"/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bCs/>
          <w:lang w:val="es-AR"/>
        </w:rPr>
        <w:t>Situación de casos:</w:t>
      </w:r>
    </w:p>
    <w:p>
      <w:pPr>
        <w:pStyle w:val="Normal"/>
        <w:rPr/>
      </w:pPr>
      <w:r>
        <w:rPr>
          <w:lang w:val="es-AR"/>
        </w:rPr>
        <w:t>- Proyecto "All Atlantic Ocean Sustainable, Profitable and Resilient Aquaculture" Centro Austral de Investigaciones Científicas (Ushuaia) en colaboración con 16 instituciones internacionales.</w:t>
      </w:r>
    </w:p>
    <w:p>
      <w:pPr>
        <w:pStyle w:val="Normal"/>
        <w:rPr/>
      </w:pPr>
      <w:hyperlink r:id="rId2">
        <w:r>
          <w:rPr>
            <w:rStyle w:val="EnlacedeInternet"/>
            <w:lang w:val="es-AR"/>
          </w:rPr>
          <w:t>https://www.astral-project.eu/</w:t>
        </w:r>
      </w:hyperlink>
      <w:r>
        <w:rPr>
          <w:lang w:val="es-AR"/>
        </w:rPr>
        <w:t xml:space="preserve"> </w:t>
      </w:r>
    </w:p>
    <w:p>
      <w:pPr>
        <w:pStyle w:val="Normal"/>
        <w:rPr/>
      </w:pPr>
      <w:hyperlink r:id="rId3">
        <w:r>
          <w:rPr>
            <w:rStyle w:val="EnlacedeInternet"/>
            <w:lang w:val="es-AR"/>
          </w:rPr>
          <w:t>https://www.youtube.com/watch?v=5Oiubw7e3eU&amp;t=10s</w:t>
        </w:r>
      </w:hyperlink>
      <w:r>
        <w:rPr>
          <w:lang w:val="es-AR"/>
        </w:rPr>
        <w:t xml:space="preserve"> </w:t>
      </w:r>
    </w:p>
    <w:p>
      <w:pPr>
        <w:pStyle w:val="Normal"/>
        <w:rPr/>
      </w:pPr>
      <w:hyperlink r:id="rId4">
        <w:r>
          <w:rPr>
            <w:rStyle w:val="EnlacedeInternet"/>
            <w:lang w:val="es-AR"/>
          </w:rPr>
          <w:t>https://www.facebook.com/ASTRALH2020</w:t>
        </w:r>
      </w:hyperlink>
      <w:r>
        <w:rPr>
          <w:lang w:val="es-AR"/>
        </w:rPr>
        <w:t xml:space="preserve">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  <w:t>- Agricultura destinará $66 millones para impulsar proyectos productivos de acuicultura en todo el país</w:t>
      </w:r>
    </w:p>
    <w:p>
      <w:pPr>
        <w:pStyle w:val="Normal"/>
        <w:rPr/>
      </w:pPr>
      <w:hyperlink r:id="rId5">
        <w:r>
          <w:rPr>
            <w:rStyle w:val="EnlacedeInternet"/>
            <w:lang w:val="es-AR"/>
          </w:rPr>
          <w:t>https://www.magyp.gob.ar/sitio/areas/prensa/?accion=noticia&amp;id_info=210503152918</w:t>
        </w:r>
      </w:hyperlink>
    </w:p>
    <w:p>
      <w:pPr>
        <w:pStyle w:val="Normal"/>
        <w:rPr/>
      </w:pPr>
      <w:r>
        <w:rPr>
          <w:lang w:val="es-AR"/>
        </w:rPr>
        <w:t xml:space="preserve">(se envió formulario </w:t>
      </w:r>
      <w:r>
        <w:rPr>
          <w:lang w:val="es-AR"/>
        </w:rPr>
        <w:t>por e-mail a los consejeros</w:t>
      </w:r>
      <w:r>
        <w:rPr>
          <w:lang w:val="es-AR"/>
        </w:rPr>
        <w:t>).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lang w:val="es-AR"/>
        </w:rPr>
        <w:t>- Propuesta estrategia de comunicación. Abordar Patagonia y NEA como pilotos, relevamiento de investigadores y de demandas en el territorio. Dos jornadas de presentación de la RED y capacidades invitando en alianza con los CCT a sectores públicos y privados (locales y nacionales) a estas reuniones. Avanzar mas minagri.</w:t>
      </w:r>
    </w:p>
    <w:p>
      <w:pPr>
        <w:pStyle w:val="Normal"/>
        <w:rPr/>
      </w:pPr>
      <w:r>
        <w:rPr>
          <w:lang w:val="es-AR"/>
        </w:rPr>
        <w:t>Proyectos especiales.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 xml:space="preserve">Difusión: </w:t>
        <w:tab/>
      </w:r>
      <w:r>
        <w:rPr>
          <w:b w:val="false"/>
          <w:bCs w:val="false"/>
          <w:lang w:val="es-AR"/>
        </w:rPr>
        <w:t xml:space="preserve">Consulta </w:t>
      </w:r>
      <w:r>
        <w:rPr>
          <w:lang w:val="es-AR"/>
        </w:rPr>
        <w:t xml:space="preserve">por comunicación de la RR al área comunicación </w:t>
      </w:r>
      <w:r>
        <w:rPr>
          <w:b w:val="false"/>
          <w:bCs w:val="false"/>
          <w:lang w:val="es-AR"/>
        </w:rPr>
        <w:t>del CCT CENPAT</w:t>
      </w:r>
      <w:r>
        <w:rPr>
          <w:lang w:val="es-AR"/>
        </w:rPr>
        <w:t xml:space="preserve">. </w:t>
      </w:r>
    </w:p>
    <w:p>
      <w:pPr>
        <w:pStyle w:val="Normal"/>
        <w:rPr/>
      </w:pPr>
      <w:r>
        <w:rPr>
          <w:lang w:val="es-AR"/>
        </w:rPr>
        <w:tab/>
        <w:tab/>
        <w:t xml:space="preserve">Flyer de Refacua. </w:t>
      </w:r>
    </w:p>
    <w:p>
      <w:pPr>
        <w:pStyle w:val="Normal"/>
        <w:rPr/>
      </w:pPr>
      <w:r>
        <w:rPr>
          <w:lang w:val="es-AR"/>
        </w:rPr>
        <w:tab/>
        <w:tab/>
        <w:t xml:space="preserve">Armado de videos y cortos. 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ab/>
        <w:tab/>
        <w:t>Planillas de capacidades. Parte pesquería de esa planilla (</w:t>
      </w:r>
      <w:bookmarkStart w:id="2" w:name="__DdeLink__173_10936045081"/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pendiente para </w:t>
      </w:r>
      <w:bookmarkEnd w:id="2"/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Sebastian, Pedro y VF), completar el desplegable (pendiente para Pablo y Carolina). 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ab/>
        <w:tab/>
        <w:t>CONICET dialoga, 17 de junio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propuestas de charlas del Dr. Pablo Collins; Acuaponia, IMTA y nuevas técnicas de cultivo, Cultivos alternativos. Novedades. Toma el tema nicolas.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Sobre tablas: 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stral-project.eu/" TargetMode="External"/><Relationship Id="rId3" Type="http://schemas.openxmlformats.org/officeDocument/2006/relationships/hyperlink" Target="https://www.youtube.com/watch?v=5Oiubw7e3eU&amp;t=10s" TargetMode="External"/><Relationship Id="rId4" Type="http://schemas.openxmlformats.org/officeDocument/2006/relationships/hyperlink" Target="https://www.facebook.com/ASTRALH2020" TargetMode="External"/><Relationship Id="rId5" Type="http://schemas.openxmlformats.org/officeDocument/2006/relationships/hyperlink" Target="https://www.magyp.gob.ar/sitio/areas/prensa/?accion=noticia&amp;id_info=210503152918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1218</TotalTime>
  <Application>LibreOffice/6.4.7.2$Linux_X86_64 LibreOffice_project/40$Build-2</Application>
  <Pages>2</Pages>
  <Words>351</Words>
  <Characters>2333</Characters>
  <CharactersWithSpaces>2695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2021-06-10T13:14:12Z</dcterms:modified>
  <cp:revision>46</cp:revision>
  <dc:subject/>
  <dc:title/>
</cp:coreProperties>
</file>