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erif" w:hAnsi="Liberation Serif" w:eastAsia="Noto Sans CJK SC" w:cs="Lohit Devanagari"/>
          <w:b/>
          <w:b/>
          <w:bCs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Noto Sans CJK SC" w:cs="Lohit Devanagari"/>
          <w:b/>
          <w:bCs/>
          <w:color w:val="auto"/>
          <w:kern w:val="2"/>
          <w:sz w:val="24"/>
          <w:szCs w:val="24"/>
          <w:lang w:val="es-AR" w:eastAsia="zh-CN" w:bidi="hi-IN"/>
        </w:rPr>
        <w:t>Minuta</w:t>
      </w:r>
    </w:p>
    <w:p>
      <w:pPr>
        <w:pStyle w:val="Normal"/>
        <w:rPr/>
      </w:pPr>
      <w:r>
        <w:rPr>
          <w:b/>
          <w:bCs/>
          <w:lang w:val="es-AR"/>
        </w:rPr>
        <w:t>3a Reunión 2022</w:t>
      </w:r>
    </w:p>
    <w:p>
      <w:pPr>
        <w:pStyle w:val="Normal"/>
        <w:rPr>
          <w:b/>
          <w:b/>
          <w:bCs/>
        </w:rPr>
      </w:pPr>
      <w:r>
        <w:rPr>
          <w:b/>
          <w:bCs/>
          <w:lang w:val="es-AR"/>
        </w:rPr>
        <w:t>CD RR</w:t>
      </w:r>
    </w:p>
    <w:p>
      <w:pPr>
        <w:pStyle w:val="Normal"/>
        <w:rPr/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>Martes 12 de abril de 2022, 15 hs.</w:t>
      </w:r>
    </w:p>
    <w:p>
      <w:pPr>
        <w:pStyle w:val="Normal"/>
        <w:rPr>
          <w:b/>
          <w:b/>
          <w:bCs/>
          <w:lang w:val="es-AR"/>
        </w:rPr>
      </w:pPr>
      <w:r>
        <w:rPr>
          <w:b/>
          <w:bCs/>
          <w:lang w:val="es-AR"/>
        </w:rPr>
      </w:r>
    </w:p>
    <w:p>
      <w:pPr>
        <w:pStyle w:val="Normal"/>
        <w:rPr/>
      </w:pPr>
      <w:r>
        <w:rPr>
          <w:b/>
          <w:bCs/>
          <w:lang w:val="es-AR"/>
        </w:rPr>
        <w:t>Orden del dia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b/>
          <w:sz w:val="24"/>
          <w:lang w:val="es-AR"/>
        </w:rPr>
        <w:t>Participantes</w:t>
      </w:r>
    </w:p>
    <w:p>
      <w:pPr>
        <w:pStyle w:val="Normal"/>
        <w:rPr>
          <w:lang w:val="es-AR"/>
        </w:rPr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>Victor Cussac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 xml:space="preserve"> (Coordinador Científico REFACUA) </w:t>
      </w:r>
    </w:p>
    <w:p>
      <w:pPr>
        <w:pStyle w:val="Normal"/>
        <w:rPr>
          <w:rFonts w:cs="LiberationSerif"/>
          <w:b/>
          <w:b/>
          <w:bCs/>
          <w:color w:val="00000A"/>
          <w:sz w:val="24"/>
          <w:szCs w:val="24"/>
          <w:lang w:val="es-AR"/>
        </w:rPr>
      </w:pPr>
      <w:r>
        <w:rPr>
          <w:rFonts w:cs="LiberationSerif"/>
          <w:b/>
          <w:bCs/>
          <w:color w:val="00000A"/>
          <w:sz w:val="24"/>
          <w:szCs w:val="24"/>
          <w:lang w:val="es-AR"/>
        </w:rPr>
      </w:r>
    </w:p>
    <w:p>
      <w:pPr>
        <w:pStyle w:val="Normal"/>
        <w:rPr/>
      </w:pPr>
      <w:r>
        <w:rPr>
          <w:rFonts w:cs="LiberationSerif"/>
          <w:b/>
          <w:bCs/>
          <w:color w:val="00000A"/>
          <w:sz w:val="24"/>
          <w:szCs w:val="24"/>
          <w:lang w:val="es-AR"/>
        </w:rPr>
        <w:t>CD (</w:t>
      </w:r>
      <w:r>
        <w:rPr>
          <w:rFonts w:eastAsia="Noto Sans CJK SC" w:cs="LiberationSerif"/>
          <w:b/>
          <w:bCs/>
          <w:color w:val="00000A"/>
          <w:kern w:val="2"/>
          <w:sz w:val="24"/>
          <w:szCs w:val="24"/>
          <w:lang w:val="es-AR" w:eastAsia="zh-CN" w:bidi="hi-IN"/>
        </w:rPr>
        <w:t>22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)</w:t>
      </w:r>
    </w:p>
    <w:p>
      <w:pPr>
        <w:pStyle w:val="Normal"/>
        <w:rPr>
          <w:rFonts w:ascii="Liberation Serif" w:hAnsi="Liberation Serif" w:cs="LiberationSerif-Bold"/>
          <w:b/>
          <w:b/>
          <w:bCs/>
          <w:color w:val="00000A"/>
          <w:sz w:val="24"/>
          <w:szCs w:val="24"/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</w:r>
    </w:p>
    <w:p>
      <w:pPr>
        <w:pStyle w:val="Normal"/>
        <w:rPr>
          <w:lang w:val="es-AR"/>
        </w:rPr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>Alejandro Mechaly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 xml:space="preserve"> (INBIOTEC)</w:t>
        <w:tab/>
        <w:tab/>
        <w:tab/>
        <w:tab/>
        <w:t>CCT MAR DEL PLATA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Ariel Martín Belavi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</w:t>
      </w:r>
      <w:r>
        <w:rPr>
          <w:rFonts w:eastAsia="Noto Sans CJK SC" w:cs="Lohit Devanagari"/>
          <w:b/>
          <w:bCs/>
          <w:color w:val="auto"/>
          <w:kern w:val="2"/>
          <w:sz w:val="24"/>
          <w:szCs w:val="24"/>
          <w:lang w:val="es-AR" w:eastAsia="zh-CN" w:bidi="hi-IN"/>
        </w:rPr>
        <w:t>INTA)</w:t>
        <w:tab/>
        <w:tab/>
        <w:tab/>
        <w:tab/>
        <w:tab/>
        <w:t>Santa Fe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Carlos Adrián Luizón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(UTN-</w:t>
      </w:r>
      <w:bookmarkStart w:id="0" w:name="__DdeLink__130_3046220109"/>
      <w:r>
        <w:rPr>
          <w:rFonts w:cs="LiberationSerif-Bold"/>
          <w:b/>
          <w:bCs/>
          <w:color w:val="00000A"/>
          <w:sz w:val="24"/>
          <w:szCs w:val="24"/>
          <w:lang w:val="es-AR"/>
        </w:rPr>
        <w:t>USHUAIA</w:t>
      </w:r>
      <w:bookmarkEnd w:id="0"/>
      <w:r>
        <w:rPr>
          <w:rFonts w:cs="LiberationSerif-Bold"/>
          <w:b/>
          <w:bCs/>
          <w:color w:val="00000A"/>
          <w:sz w:val="24"/>
          <w:szCs w:val="24"/>
          <w:lang w:val="es-AR"/>
        </w:rPr>
        <w:t>)</w:t>
        <w:tab/>
        <w:tab/>
        <w:tab/>
        <w:t>Ushuaia</w:t>
      </w:r>
    </w:p>
    <w:p>
      <w:pPr>
        <w:pStyle w:val="Normal"/>
        <w:rPr/>
      </w:pPr>
      <w:r>
        <w:rPr>
          <w:rFonts w:cs="LiberationSerif"/>
          <w:color w:val="00000A"/>
          <w:sz w:val="24"/>
          <w:szCs w:val="24"/>
          <w:lang w:val="es-AR"/>
        </w:rPr>
        <w:t>Carolina Policastro (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RIOSP CONICET</w:t>
      </w:r>
      <w:r>
        <w:rPr>
          <w:rFonts w:cs="LiberationSerif"/>
          <w:color w:val="00000A"/>
          <w:sz w:val="24"/>
          <w:szCs w:val="24"/>
          <w:lang w:val="es-AR"/>
        </w:rPr>
        <w:t>)</w:t>
        <w:tab/>
        <w:tab/>
        <w:tab/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CABA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Cecilia Castaños / Martín G. Asorey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 (UTN-CHUBUT)</w:t>
        <w:tab/>
        <w:t>Pto. Madryn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Cecilia Di Prinzio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CIEMEP)</w:t>
        <w:tab/>
        <w:tab/>
        <w:tab/>
        <w:tab/>
        <w:t>CCT PATAGONIA NORTE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Fabricio Vigliano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(UNR)</w:t>
        <w:tab/>
        <w:tab/>
        <w:tab/>
        <w:tab/>
        <w:tab/>
        <w:t>Rosario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Federico Tapella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(CADIC)</w:t>
        <w:tab/>
        <w:tab/>
        <w:tab/>
        <w:tab/>
        <w:tab/>
        <w:t>CADIC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Gustavo Somoza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 (INTECH)</w:t>
        <w:tab/>
        <w:tab/>
        <w:tab/>
        <w:tab/>
        <w:tab/>
        <w:t>CCT LA PLATA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Gustavo Wicki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 (CENADAC)</w:t>
        <w:tab/>
        <w:tab/>
        <w:tab/>
        <w:tab/>
        <w:t>Corrientes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M. Mercedes Berrueta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(UTN-MAR DEL PLATA)</w:t>
        <w:tab/>
        <w:tab/>
        <w:t>Mar Del Plata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Marcelo Alonso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CRUB-UNCO</w:t>
      </w:r>
      <w:r>
        <w:rPr>
          <w:rFonts w:cs="LiberationSerif" w:ascii="LiberationSerif" w:hAnsi="LiberationSerif"/>
          <w:b/>
          <w:bCs/>
          <w:color w:val="00000A"/>
          <w:sz w:val="24"/>
          <w:szCs w:val="24"/>
          <w:lang w:val="es-AR"/>
        </w:rPr>
        <w:t>)</w:t>
        <w:tab/>
        <w:tab/>
        <w:tab/>
        <w:tab/>
        <w:t>Bariloche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Mariano Bacci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(SENASA)</w:t>
        <w:tab/>
        <w:tab/>
        <w:tab/>
        <w:tab/>
        <w:tab/>
        <w:t>CABA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Mariano Spinedi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(INIDEP)</w:t>
        <w:tab/>
        <w:tab/>
        <w:tab/>
        <w:tab/>
        <w:tab/>
        <w:t>Mar Del Plata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Nicolás Ortiz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IBIOMAR</w:t>
      </w:r>
      <w:r>
        <w:rPr>
          <w:rFonts w:cs="LiberationSerif" w:ascii="LiberationSerif" w:hAnsi="LiberationSerif"/>
          <w:b/>
          <w:bCs/>
          <w:color w:val="00000A"/>
          <w:sz w:val="24"/>
          <w:szCs w:val="24"/>
          <w:lang w:val="es-AR"/>
        </w:rPr>
        <w:t>)</w:t>
        <w:tab/>
        <w:tab/>
        <w:tab/>
        <w:tab/>
        <w:tab/>
        <w:t>CCT CENPAT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Pablo Collins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(INALI)</w:t>
        <w:tab/>
        <w:tab/>
        <w:tab/>
        <w:tab/>
        <w:tab/>
        <w:t>CCT SANTA FE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Pablo Hualde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 xml:space="preserve"> (CEAN)</w:t>
      </w:r>
      <w:r>
        <w:rPr>
          <w:rFonts w:cs="LiberationSerif"/>
          <w:color w:val="00000A"/>
          <w:sz w:val="24"/>
          <w:szCs w:val="24"/>
          <w:lang w:val="es-AR"/>
        </w:rPr>
        <w:tab/>
        <w:tab/>
        <w:tab/>
        <w:tab/>
        <w:tab/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Neuquen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Pedro Barón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CESIMAR</w:t>
      </w:r>
      <w:r>
        <w:rPr>
          <w:rFonts w:cs="LiberationSerif" w:ascii="LiberationSerif" w:hAnsi="LiberationSerif"/>
          <w:b/>
          <w:bCs/>
          <w:color w:val="00000A"/>
          <w:sz w:val="24"/>
          <w:szCs w:val="24"/>
          <w:lang w:val="es-AR"/>
        </w:rPr>
        <w:t>)</w:t>
        <w:tab/>
        <w:tab/>
        <w:tab/>
        <w:tab/>
        <w:tab/>
        <w:t>CENPAT</w:t>
      </w:r>
    </w:p>
    <w:p>
      <w:pPr>
        <w:pStyle w:val="Normal"/>
        <w:rPr/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 xml:space="preserve">Sebastián Sánchez 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(CCT Nordeste)</w:t>
      </w: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 xml:space="preserve"> </w:t>
        <w:tab/>
        <w:tab/>
        <w:tab/>
        <w:tab/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Corrientes</w:t>
      </w:r>
    </w:p>
    <w:p>
      <w:pPr>
        <w:pStyle w:val="Normal"/>
        <w:rPr>
          <w:lang w:val="es-AR"/>
        </w:rPr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 xml:space="preserve">Sonia Alejandra Crichigno 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(IPATEC)</w:t>
        <w:tab/>
        <w:tab/>
        <w:tab/>
        <w:t>CCT PATAGONIA NORTE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Vanina Villanova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CCT Rosario)</w:t>
        <w:tab/>
        <w:tab/>
        <w:tab/>
        <w:tab/>
        <w:t>CCT ROSARIO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Victor Fernández Cartes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CIMAS)</w:t>
        <w:tab/>
        <w:tab/>
        <w:tab/>
        <w:tab/>
        <w:t>CCT CENPAT</w:t>
      </w:r>
    </w:p>
    <w:p>
      <w:pPr>
        <w:pStyle w:val="Normal"/>
        <w:rPr>
          <w:rFonts w:cs="LiberationSerif-Bold"/>
          <w:b/>
          <w:b/>
          <w:bCs/>
          <w:color w:val="00000A"/>
          <w:sz w:val="24"/>
          <w:szCs w:val="24"/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</w:r>
    </w:p>
    <w:p>
      <w:pPr>
        <w:pStyle w:val="Normal"/>
        <w:rPr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Temario: 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Incorporación del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Téc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.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Pablo Hualde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 al CD como representante del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CEAN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 (Centro de Ecología aplicada del Neuquén, Provincia del Neuquen).</w:t>
      </w:r>
    </w:p>
    <w:p>
      <w:pPr>
        <w:pStyle w:val="Normal"/>
        <w:rPr>
          <w:rFonts w:cs="LiberationSerif-Bold"/>
          <w:b/>
          <w:b/>
          <w:bCs/>
          <w:color w:val="00000A"/>
          <w:sz w:val="24"/>
          <w:szCs w:val="24"/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</w:r>
    </w:p>
    <w:p>
      <w:pPr>
        <w:pStyle w:val="Normal"/>
        <w:rPr/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>Fecha y hora proxima reunión: 17 de mayo 2022, 15 hs.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Información y Aprobacion </w:t>
      </w:r>
    </w:p>
    <w:p>
      <w:pPr>
        <w:pStyle w:val="Normal"/>
        <w:rPr/>
      </w:pPr>
      <w:r>
        <w:rPr>
          <w:lang w:val="es-AR"/>
        </w:rPr>
        <w:t xml:space="preserve">- Aprobación de la minuta de la reunión anterior. </w:t>
      </w:r>
      <w:r>
        <w:rPr>
          <w:lang w:val="es-AR"/>
        </w:rPr>
        <w:t>Se aprueba.</w:t>
      </w:r>
    </w:p>
    <w:p>
      <w:pPr>
        <w:pStyle w:val="Normal"/>
        <w:rPr/>
      </w:pPr>
      <w:r>
        <w:rPr>
          <w:lang w:val="es-AR"/>
        </w:rPr>
        <w:t xml:space="preserve">- Avances en el trabajo conjunto con 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el IICA (</w:t>
      </w:r>
      <w:hyperlink r:id="rId2">
        <w:r>
          <w:rPr>
            <w:rStyle w:val="EnlacedeInternet"/>
            <w:rFonts w:cs="LiberationSerif-Bold"/>
            <w:b w:val="false"/>
            <w:bCs w:val="false"/>
            <w:color w:val="00000A"/>
            <w:sz w:val="24"/>
            <w:szCs w:val="24"/>
            <w:lang w:val="es-AR"/>
          </w:rPr>
          <w:t>https://iica.int/es</w:t>
        </w:r>
      </w:hyperlink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). Propuesta Iniciativa Aquaponia Argentina.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 xml:space="preserve">Enviada y recibida. Nueva iniciativa: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P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 xml:space="preserve">esqueria.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Se acuerda.</w:t>
      </w:r>
    </w:p>
    <w:p>
      <w:pPr>
        <w:pStyle w:val="Normal"/>
        <w:rPr/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 xml:space="preserve">- Interacción con la Dirección de Acuicultura del MAGYP. Propuesta de convenio CONICET-MAGYP. Propuesta IMPACTAR MAGYP. Informe Detallado MAGYP. Reunión 1 y 2 con la Dirección de Acuicultura.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Se informa.</w:t>
      </w:r>
    </w:p>
    <w:p>
      <w:pPr>
        <w:pStyle w:val="Normal"/>
        <w:rPr/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 xml:space="preserve">Temas para armar equipos y redactar propuestas (planes de trabajo): </w:t>
      </w:r>
    </w:p>
    <w:p>
      <w:pPr>
        <w:pStyle w:val="Normal"/>
        <w:rPr/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Según Reunión 1:</w:t>
      </w:r>
    </w:p>
    <w:p>
      <w:pPr>
        <w:pStyle w:val="Normal"/>
        <w:rPr/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a- Consolidación de un nodo NEA (Misiones, Formosa, Chaco, Corrientes, Santa Fe, Entre Ríos) que</w:t>
      </w:r>
    </w:p>
    <w:p>
      <w:pPr>
        <w:pStyle w:val="Normal"/>
        <w:rPr/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implemente productivamente la producción Pacú-Arroz. Activar soporte REFACUA para esta</w:t>
      </w:r>
    </w:p>
    <w:p>
      <w:pPr>
        <w:pStyle w:val="Normal"/>
        <w:rPr/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iniciativa.</w:t>
      </w:r>
    </w:p>
    <w:p>
      <w:pPr>
        <w:pStyle w:val="Normal"/>
        <w:rPr/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b- Creación de un CENADAC sur a fin de consolidar el soporte técnico a la región.</w:t>
      </w:r>
    </w:p>
    <w:p>
      <w:pPr>
        <w:pStyle w:val="Normal"/>
        <w:rPr/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c- Proveer apoyo a las diferentes estrategias de sosten de la pesqueria recreacional de agua dulce en</w:t>
      </w:r>
    </w:p>
    <w:p>
      <w:pPr>
        <w:pStyle w:val="Normal"/>
        <w:rPr/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la región centro.</w:t>
      </w:r>
    </w:p>
    <w:p>
      <w:pPr>
        <w:pStyle w:val="Normal"/>
        <w:rPr/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d- Abordar la situación de los embalses con altas temperaturas (Chocón y Casa de Piedra) mediante</w:t>
      </w:r>
    </w:p>
    <w:p>
      <w:pPr>
        <w:pStyle w:val="Normal"/>
        <w:rPr/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desarrollo a escala de cultivo de lineas resistentes a alta temperatura.</w:t>
      </w:r>
    </w:p>
    <w:p>
      <w:pPr>
        <w:pStyle w:val="Normal"/>
        <w:rPr/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e- Proveer fondos a AIC (Limay, Neuquen y Negro) para que pueda realizar los estudios genéticos</w:t>
      </w:r>
    </w:p>
    <w:p>
      <w:pPr>
        <w:pStyle w:val="Normal"/>
        <w:rPr/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que permitan deslindar responsabilidades en los escapes de truchas de cultivo.</w:t>
      </w:r>
    </w:p>
    <w:p>
      <w:pPr>
        <w:pStyle w:val="Normal"/>
        <w:rPr/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f- Activar (por parte de REFACUA) un grupo de expertos en ornamentales que permita canalizar</w:t>
      </w:r>
    </w:p>
    <w:p>
      <w:pPr>
        <w:pStyle w:val="Normal"/>
        <w:rPr/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positivamente protestas en propuestas, con la asistencia del sector privado.</w:t>
      </w:r>
    </w:p>
    <w:p>
      <w:pPr>
        <w:pStyle w:val="Normal"/>
        <w:rPr/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g- Proveer apoyo REFACUA a los diferentes aspectos del desarrollo de la acuicultura en la provincia</w:t>
      </w:r>
    </w:p>
    <w:p>
      <w:pPr>
        <w:pStyle w:val="Normal"/>
        <w:rPr/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de Santa Cruz (impacto ambiental en las lagunas de la Meseta de Strobel, capacidad de carga en los</w:t>
      </w:r>
    </w:p>
    <w:p>
      <w:pPr>
        <w:pStyle w:val="Normal"/>
        <w:rPr/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nuevos embalses, apoyo al manejo de la pesca deportiva de las formas migradoras en la boca del rio</w:t>
      </w:r>
    </w:p>
    <w:p>
      <w:pPr>
        <w:pStyle w:val="Normal"/>
        <w:rPr/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Santa Cruz, esto último no lo hablamos, lo agregué ahora).</w:t>
      </w:r>
    </w:p>
    <w:p>
      <w:pPr>
        <w:pStyle w:val="Normal"/>
        <w:rPr/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h- Proveer (cauteloso) apoyo a iniciativas de cultivo integrado en Tierra del Fuego.</w:t>
      </w:r>
    </w:p>
    <w:p>
      <w:pPr>
        <w:pStyle w:val="Normal"/>
        <w:rPr/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i- Avanzar con propuestas de mejoras de los diferentes encuadres normativos de la acuicultura en las</w:t>
      </w:r>
    </w:p>
    <w:p>
      <w:pPr>
        <w:pStyle w:val="Normal"/>
        <w:rPr/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distintas jurisdicciones.</w:t>
      </w:r>
    </w:p>
    <w:p>
      <w:pPr>
        <w:pStyle w:val="Normal"/>
        <w:rPr>
          <w:rFonts w:eastAsia="Noto Sans CJK SC" w:cs="LiberationSerif-Bold"/>
          <w:b w:val="false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</w:r>
    </w:p>
    <w:p>
      <w:pPr>
        <w:pStyle w:val="Normal"/>
        <w:rPr/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Según reunión 2:</w:t>
      </w:r>
    </w:p>
    <w:p>
      <w:pPr>
        <w:pStyle w:val="Normal"/>
        <w:rPr/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 xml:space="preserve">           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1) Consolidación de equipo de trabajo nodo NEA para la regionalización de la acuicultura y la investigación y desarrollo en sistemas de cultivos integrados (pacú-arroz).</w:t>
      </w:r>
    </w:p>
    <w:p>
      <w:pPr>
        <w:pStyle w:val="Normal"/>
        <w:rPr/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 xml:space="preserve">           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2) Consolidación de nodo Patagonia para la asistencia científica en el armado de un CENADAC SUR, evaluación de la mejor estrategia basada en evidencia.</w:t>
      </w:r>
    </w:p>
    <w:p>
      <w:pPr>
        <w:pStyle w:val="Normal"/>
        <w:rPr/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 xml:space="preserve">           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3) Acuaponia (ya tenemos el plan de trabajo, enviado al IICA, usaríamos el mismo).</w:t>
      </w:r>
    </w:p>
    <w:p>
      <w:pPr>
        <w:pStyle w:val="Normal"/>
        <w:rPr/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 xml:space="preserve">           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4) Construcción de un Sistema Nacional de Datos Estadisticos.</w:t>
      </w:r>
    </w:p>
    <w:p>
      <w:pPr>
        <w:pStyle w:val="Normal"/>
        <w:rPr/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 xml:space="preserve">           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5) Ornamentales: estado del arte y situación de la actividad.</w:t>
      </w:r>
    </w:p>
    <w:p>
      <w:pPr>
        <w:pStyle w:val="Normal"/>
        <w:rPr/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ab/>
        <w:t>6) Embalses (Chocón y Casa de piedra) estudio de factibilidades para el cultivo.</w:t>
      </w:r>
    </w:p>
    <w:p>
      <w:pPr>
        <w:pStyle w:val="Normal"/>
        <w:rPr>
          <w:rFonts w:eastAsia="Noto Sans CJK SC" w:cs="LiberationSerif-Bold"/>
          <w:b w:val="false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</w:pPr>
      <w:r>
        <w:rPr/>
      </w:r>
    </w:p>
    <w:p>
      <w:pPr>
        <w:pStyle w:val="Normal"/>
        <w:rPr>
          <w:rFonts w:ascii="Liberation Serif" w:hAnsi="Liberation Serif" w:eastAsia="Noto Sans CJK SC" w:cs="LiberationSerif-Bold"/>
          <w:b w:val="false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Se acuerda en conformar grupos de trabajo.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rFonts w:eastAsia="Noto Sans CJK SC" w:cs="Lohit Devanagari"/>
          <w:b/>
          <w:bCs/>
          <w:color w:val="auto"/>
          <w:kern w:val="2"/>
          <w:sz w:val="24"/>
          <w:szCs w:val="24"/>
          <w:lang w:val="es-AR" w:eastAsia="zh-CN" w:bidi="hi-IN"/>
        </w:rPr>
        <w:t>Pendientes</w:t>
      </w:r>
      <w:r>
        <w:rPr>
          <w:b/>
          <w:bCs/>
          <w:lang w:val="es-AR"/>
        </w:rPr>
        <w:t>:</w:t>
      </w:r>
    </w:p>
    <w:p>
      <w:pPr>
        <w:pStyle w:val="Normal"/>
        <w:rPr/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 xml:space="preserve">- Propuesta estrategia de comunicación para 2022. Asistencia desde sede central (Viviana Moreno, equipo RIOSP). Encuesta Capacidades distribuida. </w:t>
      </w:r>
      <w:r>
        <w:rPr>
          <w:lang w:val="es-AR"/>
        </w:rPr>
        <w:t xml:space="preserve">Abordar Patagonia y NEA como pilotos, relevamiento de investigadores y de demandas en el territorio. Dos jornadas de presentación de la RED y capacidades invitando en alianza con los CCT a MAGYP, sectores públicos y privados (locales y nacionales) a estas reuniones. </w:t>
      </w:r>
      <w:r>
        <w:rPr>
          <w:rFonts w:eastAsia="Noto Sans CJK SC" w:cs="Lohit Devanagari"/>
          <w:color w:val="auto"/>
          <w:kern w:val="2"/>
          <w:sz w:val="24"/>
          <w:szCs w:val="24"/>
          <w:lang w:val="es-AR" w:eastAsia="zh-CN" w:bidi="hi-IN"/>
        </w:rPr>
        <w:t>I</w:t>
      </w:r>
      <w:r>
        <w:rPr>
          <w:lang w:val="es-AR"/>
        </w:rPr>
        <w:t>mportancia de contactar específicamente con las administraciones provinciales, ya que son las autoridades de aplicación en el territorio. Ver las a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ctividades previstas para 2022 en el Informe de la Red.</w:t>
      </w:r>
    </w:p>
    <w:p>
      <w:pPr>
        <w:pStyle w:val="Normal"/>
        <w:rPr/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Se acuerda relacionar estas actividades con las actividades en marcha.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b/>
          <w:b/>
          <w:bCs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Sobre tablas: 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Nota Emilio Otturi. Gestiones realizadas. Contacto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realizado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.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 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Se trabajará en una propuesta sobre la temática de ornamentales.</w:t>
      </w:r>
    </w:p>
    <w:p>
      <w:pPr>
        <w:pStyle w:val="Normal"/>
        <w:rPr>
          <w:b/>
          <w:b/>
          <w:bCs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ab/>
        <w:tab/>
        <w:t>Jornada Acuaponia.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 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Organizarán Pablo Collins y Ariel Belavi.</w:t>
      </w:r>
    </w:p>
    <w:p>
      <w:pPr>
        <w:pStyle w:val="Normal"/>
        <w:rPr>
          <w:b/>
          <w:b/>
          <w:bCs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ab/>
        <w:tab/>
        <w:t>S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e analizará la determinación de áreas de vacancia para solicitar cargos CIC.</w:t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>
          <w:b/>
          <w:b/>
          <w:bCs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1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character" w:styleId="EnlacedeInternet">
    <w:name w:val="Enlace de Internet"/>
    <w:rPr>
      <w:color w:val="000080"/>
      <w:u w:val="single"/>
      <w:lang w:eastAsia="zxx" w:bidi="zxx"/>
    </w:rPr>
  </w:style>
  <w:style w:type="character" w:styleId="EnlacedeInternetvisitado">
    <w:name w:val="Enlace de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ica.int/es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1937</TotalTime>
  <Application>LibreOffice/6.4.7.2$Linux_X86_64 LibreOffice_project/40$Build-2</Application>
  <Pages>2</Pages>
  <Words>738</Words>
  <Characters>4170</Characters>
  <CharactersWithSpaces>4973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2020-07-02T11:22:35Z</dcterms:created>
  <dc:creator/>
  <dc:description/>
  <dc:language>es-AR</dc:language>
  <cp:lastModifiedBy/>
  <dcterms:modified xsi:type="dcterms:W3CDTF">2022-05-12T14:20:10Z</dcterms:modified>
  <cp:revision>88</cp:revision>
  <dc:subject/>
  <dc:title/>
</cp:coreProperties>
</file>