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1a Reunión 2023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14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Febrero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sz w:val="24"/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26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Alejandra Volpedo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(INPA)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Analia Fernández Gimenez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(IIMYC)</w:t>
        <w:tab/>
        <w:tab/>
        <w:tab/>
        <w:tab/>
        <w:tab/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Laura Lopez Greco / Paula Vissio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(IBBEA)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Incorporación al CD REFACUA de las Dras. 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Laura Lopez Greco y Paula Vissio en calidad de representantes del Instituto de Biodiversidad y Biología Experimental y Aplicada (IBBEA, CONICET-UBA). 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Se aprueba.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>Aprobación de la minuta de la reunión anterior. Se aprueba.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Fecha y hora proxima reunión: Martes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21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Marzo de 2023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, 15 hs.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Proyectos de Redes Federales de Alto Impacto. Se informa. Ver en </w:t>
      </w:r>
      <w:hyperlink r:id="rId2">
        <w:r>
          <w:rPr>
            <w:rStyle w:val="InternetLink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https://www.argentina.gob.ar/ciencia/financiamiento/redes-alto-impacto-2023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</w:t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Generación de proyectos específicos. Protectos interinstitucionales MINCyT (</w:t>
      </w:r>
      <w:hyperlink r:id="rId3">
        <w:r>
          <w:rPr>
            <w:rStyle w:val="InternetLink"/>
          </w:rPr>
          <w:t>https://www.argentina.gob.ar/ciencia/financiamiento/pites</w:t>
        </w:r>
      </w:hyperlink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). Alimentos. Dirige la Dra. Analía Fernández Gimenez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(IIMYC). Avances. Se verá de qué manera darle mayor impulso.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OEA - Las Proteínas Alternativas y la Seguridad Alimentaria en América Latina y el Caribe al 2050. El evento se llevará a cabo el jueves 2 de marzo a través de videoconferencia, a las 11:00 am del cono sur, 9:00 am de Perú y Colombia, 8:00 am de México. En la agenda se presentarán resultados del ejercicio de vigilancia científica y tecnológica, el diagnóstico estratégico y el estudio Delphi llevados a cabo. Después se realizará un taller virtual donde el grupo de expertos se subdividirá en 4 temáticas: - Elementos transversales; - Proteínas a base de vegetales; - Proteínas a base de insectos; y - Proteínas de laboratorio. Reenviar a la red. Se informa.</w:t>
      </w:r>
    </w:p>
    <w:p>
      <w:pPr>
        <w:pStyle w:val="Normal"/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Iniciativa Acuaponia Moyano. Avances. Sin mayores avances por ahora.</w:t>
      </w:r>
    </w:p>
    <w:p>
      <w:pPr>
        <w:pStyle w:val="Normal"/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Iniciativa Acuaponia Luján. Avances. Sin mayores avances por ahora.</w:t>
      </w:r>
    </w:p>
    <w:p>
      <w:pPr>
        <w:pStyle w:val="Normal"/>
        <w:rPr>
          <w:rFonts w:eastAsia="Noto Sans CJK SC" w:cs="LiberationSerif-Bold"/>
          <w:b w:val="false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Convenios CONICET-DNA SAGYP y CONICET-DNA SAGYP-AIC. Situación y avances. A la espera de firmas.</w:t>
      </w:r>
    </w:p>
    <w:p>
      <w:pPr>
        <w:pStyle w:val="Normal"/>
        <w:rPr/>
      </w:pPr>
      <w:r>
        <w:rPr>
          <w:lang w:val="es-AR"/>
        </w:rPr>
        <w:t xml:space="preserve">- Reunión presencial REFACUA: “Acuicultura en el C3”.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Trabajo. A la espera de firmas de convenios.</w:t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Novedades en página: Oportunidades comerciales informadas por el Ministerio de Relaciones Exteriores Comercio Internacional y Culto. Congreso Latinoamericano y del Caribe de Pesquerias,</w:t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SIMPOSIO Salmónidos Introducidos en Sudamérica: Distribución, impactos y manejo (Cecilia Di Prinzio). Se informa.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b/>
          <w:bCs/>
          <w:lang w:val="es-AR"/>
        </w:rPr>
        <w:t xml:space="preserve">Sobre tablas: Reuniones parciales regionales 3 al año con foco provincial. 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Se enviará bo</w:t>
      </w:r>
      <w:r>
        <w:rPr>
          <w:b/>
          <w:bCs/>
          <w:lang w:val="es-AR"/>
        </w:rPr>
        <w:t>rrador y se circulará.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eastAsia="zxx" w:bidi="zxx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character" w:styleId="VisitedInternetLink">
    <w:name w:val="FollowedHyperlink"/>
    <w:rPr>
      <w:color w:val="80000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rgentina.gob.ar/ciencia/financiamiento/redes-alto-impacto-2023" TargetMode="External"/><Relationship Id="rId3" Type="http://schemas.openxmlformats.org/officeDocument/2006/relationships/hyperlink" Target="https://www.argentina.gob.ar/ciencia/financiamiento/pit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3415</TotalTime>
  <Application>LibreOffice/6.4.7.2$Linux_X86_64 LibreOffice_project/40$Build-2</Application>
  <Pages>2</Pages>
  <Words>503</Words>
  <Characters>2931</Characters>
  <CharactersWithSpaces>3511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2023-03-13T14:57:15Z</dcterms:modified>
  <cp:revision>148</cp:revision>
  <dc:subject/>
  <dc:title/>
</cp:coreProperties>
</file>